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70"/>
        <w:gridCol w:w="9158"/>
      </w:tblGrid>
      <w:tr>
        <w:tc>
          <w:tcPr>
            <w:tcW w:type="dxa" w:w="17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17"/>
              </w:rPr>
            </w:pPr>
          </w:p>
        </w:tc>
        <w:tc>
          <w:tcPr>
            <w:tcW w:type="dxa" w:w="915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Уточнен Стандарт оказания услуги по протезированию детей-инвалидов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tbl>
      <w:tblPr>
        <w:tblStyle w:val="Style_1"/>
        <w:tblW w:type="auto" w:w="0"/>
        <w:tblLayout w:type="fixed"/>
      </w:tblPr>
      <w:tblGrid>
        <w:gridCol w:w="200"/>
        <w:gridCol w:w="9175"/>
      </w:tblGrid>
      <w:tr>
        <w:trPr>
          <w:trHeight w:hRule="atLeast" w:val="200"/>
        </w:trPr>
        <w:tc>
          <w:tcPr>
            <w:tcW w:type="dxa" w:w="200"/>
            <w:vAlign w:val="top"/>
          </w:tcPr>
          <w:p w14:paraId="06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9175"/>
            <w:vAlign w:val="center"/>
          </w:tcPr>
          <w:p w14:paraId="07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8000000">
      <w:pPr>
        <w:widowControl w:val="1"/>
        <w:spacing w:after="0" w:before="0" w:line="240" w:lineRule="auto"/>
        <w:ind w:firstLine="0" w:left="0" w:right="0"/>
        <w:jc w:val="both"/>
        <w:rPr>
          <w:b w:val="0"/>
        </w:rPr>
      </w:pPr>
      <w:r>
        <w:rPr>
          <w:rFonts w:ascii="Times New Roman" w:hAnsi="Times New Roman"/>
          <w:b w:val="0"/>
          <w:sz w:val="24"/>
        </w:rPr>
        <w:t xml:space="preserve">  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Приказом Минтруда России от 08.04.2026 N 138н "О внесении изменений в Стандарт оказания услуги по протезированию детей-инвалидов, утвержденный приказом Министерства труда и социальной защиты Российской Федерации от 21 июля 2025 г. N 449н" (Зарегистрировано в Минюсте России 12.05.2026 N 86410)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р</w:t>
      </w:r>
      <w:r>
        <w:rPr>
          <w:rFonts w:ascii="Times New Roman" w:hAnsi="Times New Roman"/>
          <w:b w:val="0"/>
          <w:sz w:val="28"/>
        </w:rPr>
        <w:t>асширен понятийный аппарат, дополнены целевые реабилитационные группы инвалидов, в отношении которых применяется стандарт, в новой редакции изложены: раздел IV "Перечень специалистов, привлекаемых к</w:t>
      </w:r>
      <w:r>
        <w:rPr>
          <w:rFonts w:ascii="Times New Roman" w:hAnsi="Times New Roman"/>
          <w:b w:val="0"/>
          <w:sz w:val="28"/>
        </w:rPr>
        <w:t xml:space="preserve"> реализации услуги, предусмотренной стандартом", раздел V "Перечень мероприятий, входящих в состав услуги, предусмотренной стандартом", раздел VII "Показатели продолжительности и кратности предоставления мероприятий, входящих в состав услуги, предусмотренной стандартом".</w:t>
      </w:r>
      <w:r>
        <w:rPr>
          <w:rFonts w:ascii="Times New Roman" w:hAnsi="Times New Roman"/>
          <w:sz w:val="28"/>
        </w:rPr>
        <w:br/>
      </w:r>
    </w:p>
    <w:p w14:paraId="09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1"/>
        <w:tblW w:type="auto" w:w="0"/>
        <w:tblLayout w:type="fixed"/>
      </w:tblPr>
      <w:tblGrid>
        <w:gridCol w:w="200"/>
        <w:gridCol w:w="200"/>
      </w:tblGrid>
      <w:tr>
        <w:tc>
          <w:tcPr>
            <w:tcW w:type="dxa" w:w="200"/>
            <w:vAlign w:val="top"/>
          </w:tcPr>
          <w:p w14:paraId="0A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00"/>
            <w:vAlign w:val="center"/>
          </w:tcPr>
          <w:p w14:paraId="0B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0D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E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2026-05-21T15:20:42Z</dcterms:modified>
</cp:coreProperties>
</file>